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652"/>
        <w:gridCol w:w="6216"/>
      </w:tblGrid>
      <w:tr w:rsidR="003475FC" w:rsidTr="005756F6">
        <w:trPr>
          <w:trHeight w:val="1611"/>
        </w:trPr>
        <w:tc>
          <w:tcPr>
            <w:tcW w:w="765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36" w:space="0" w:color="F2672A"/>
              <w:right w:val="nil"/>
            </w:tcBorders>
          </w:tcPr>
          <w:p w:rsidR="003475FC" w:rsidRDefault="003475FC">
            <w:bookmarkStart w:id="0" w:name="_Hlk35851224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D578BE7" wp14:editId="529F1F5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0</wp:posOffset>
                  </wp:positionV>
                  <wp:extent cx="228600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420" y="21168"/>
                      <wp:lineTo x="21420" y="0"/>
                      <wp:lineTo x="0" y="0"/>
                    </wp:wrapPolygon>
                  </wp:wrapTight>
                  <wp:docPr id="7" name="Picture 7" descr="cid:2adbe096-3369-ea11-8131-00505685cf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id:2adbe096-3369-ea11-8131-00505685cf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6" w:type="dxa"/>
            <w:tcBorders>
              <w:top w:val="single" w:sz="48" w:space="0" w:color="D9D9D9" w:themeColor="background1" w:themeShade="D9"/>
              <w:left w:val="nil"/>
              <w:bottom w:val="single" w:sz="36" w:space="0" w:color="F2672A"/>
              <w:right w:val="single" w:sz="48" w:space="0" w:color="D9D9D9" w:themeColor="background1" w:themeShade="D9"/>
            </w:tcBorders>
          </w:tcPr>
          <w:p w:rsidR="003475FC" w:rsidRDefault="003475FC" w:rsidP="003475FC">
            <w:pPr>
              <w:jc w:val="right"/>
              <w:rPr>
                <w:noProof/>
              </w:rPr>
            </w:pPr>
          </w:p>
          <w:p w:rsidR="003475FC" w:rsidRDefault="003475FC" w:rsidP="003475FC">
            <w:pPr>
              <w:jc w:val="right"/>
              <w:rPr>
                <w:noProof/>
              </w:rPr>
            </w:pPr>
          </w:p>
          <w:p w:rsidR="003475FC" w:rsidRDefault="003475FC" w:rsidP="003475FC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C7253A">
                  <wp:extent cx="1485900" cy="419100"/>
                  <wp:effectExtent l="0" t="0" r="0" b="0"/>
                  <wp:docPr id="8" name="Picture 8" descr="cid:142c9050-9cc6-e511-94fa-00155d145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id:142c9050-9cc6-e511-94fa-00155d145c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5FC" w:rsidTr="005756F6">
        <w:trPr>
          <w:trHeight w:val="770"/>
        </w:trPr>
        <w:tc>
          <w:tcPr>
            <w:tcW w:w="13868" w:type="dxa"/>
            <w:gridSpan w:val="2"/>
            <w:tcBorders>
              <w:top w:val="single" w:sz="36" w:space="0" w:color="F2672A"/>
              <w:left w:val="single" w:sz="48" w:space="0" w:color="D9D9D9" w:themeColor="background1" w:themeShade="D9"/>
              <w:bottom w:val="nil"/>
              <w:right w:val="single" w:sz="48" w:space="0" w:color="D9D9D9" w:themeColor="background1" w:themeShade="D9"/>
            </w:tcBorders>
          </w:tcPr>
          <w:p w:rsidR="003475FC" w:rsidRDefault="003475FC" w:rsidP="003475FC">
            <w:pPr>
              <w:jc w:val="right"/>
              <w:rPr>
                <w:noProof/>
              </w:rPr>
            </w:pPr>
          </w:p>
          <w:p w:rsidR="003475FC" w:rsidRDefault="00814FB9" w:rsidP="003475FC">
            <w:pPr>
              <w:tabs>
                <w:tab w:val="left" w:pos="6060"/>
              </w:tabs>
              <w:jc w:val="center"/>
              <w:rPr>
                <w:b/>
                <w:noProof/>
                <w:color w:val="000000" w:themeColor="text1"/>
                <w:sz w:val="44"/>
              </w:rPr>
            </w:pPr>
            <w:r w:rsidRPr="00B339BE">
              <w:rPr>
                <w:b/>
                <w:noProof/>
                <w:color w:val="000000" w:themeColor="text1"/>
                <w:sz w:val="40"/>
              </w:rPr>
              <w:t xml:space="preserve">Working from home, </w:t>
            </w:r>
            <w:r w:rsidR="00B339BE" w:rsidRPr="00B339BE">
              <w:rPr>
                <w:b/>
                <w:noProof/>
                <w:color w:val="000000" w:themeColor="text1"/>
                <w:sz w:val="40"/>
              </w:rPr>
              <w:t>fire safety</w:t>
            </w:r>
          </w:p>
          <w:p w:rsidR="003475FC" w:rsidRPr="003475FC" w:rsidRDefault="003475FC" w:rsidP="003475FC">
            <w:pPr>
              <w:tabs>
                <w:tab w:val="left" w:pos="6060"/>
              </w:tabs>
              <w:jc w:val="center"/>
              <w:rPr>
                <w:b/>
                <w:noProof/>
                <w:color w:val="000000" w:themeColor="text1"/>
              </w:rPr>
            </w:pPr>
          </w:p>
          <w:p w:rsidR="003475FC" w:rsidRDefault="003475FC" w:rsidP="003475FC">
            <w:pPr>
              <w:tabs>
                <w:tab w:val="left" w:pos="6060"/>
              </w:tabs>
              <w:rPr>
                <w:color w:val="000000" w:themeColor="text1"/>
                <w:sz w:val="21"/>
                <w:szCs w:val="21"/>
              </w:rPr>
            </w:pPr>
            <w:r w:rsidRPr="003475FC">
              <w:rPr>
                <w:color w:val="000000" w:themeColor="text1"/>
                <w:sz w:val="21"/>
                <w:szCs w:val="21"/>
              </w:rPr>
              <w:t xml:space="preserve">Welcome to working from home. You may be a seasoned </w:t>
            </w:r>
            <w:proofErr w:type="gramStart"/>
            <w:r w:rsidRPr="003475FC">
              <w:rPr>
                <w:color w:val="000000" w:themeColor="text1"/>
                <w:sz w:val="21"/>
                <w:szCs w:val="21"/>
              </w:rPr>
              <w:t>home-worker</w:t>
            </w:r>
            <w:proofErr w:type="gramEnd"/>
            <w:r w:rsidRPr="003475FC">
              <w:rPr>
                <w:color w:val="000000" w:themeColor="text1"/>
                <w:sz w:val="21"/>
                <w:szCs w:val="21"/>
              </w:rPr>
              <w:t xml:space="preserve"> or this may be your first time. Either way there are some simple but effective things you can do to keep yourself comfortable, healthy and productive.</w:t>
            </w:r>
          </w:p>
          <w:p w:rsidR="00227B00" w:rsidRPr="00227B00" w:rsidRDefault="00227B00" w:rsidP="003475FC">
            <w:pPr>
              <w:tabs>
                <w:tab w:val="left" w:pos="6060"/>
              </w:tabs>
              <w:rPr>
                <w:color w:val="000000" w:themeColor="text1"/>
                <w:sz w:val="21"/>
                <w:szCs w:val="21"/>
              </w:rPr>
            </w:pPr>
          </w:p>
        </w:tc>
      </w:tr>
      <w:tr w:rsidR="003475FC" w:rsidTr="005756F6">
        <w:tc>
          <w:tcPr>
            <w:tcW w:w="7652" w:type="dxa"/>
            <w:tcBorders>
              <w:top w:val="nil"/>
              <w:left w:val="single" w:sz="48" w:space="0" w:color="D9D9D9" w:themeColor="background1" w:themeShade="D9"/>
              <w:bottom w:val="nil"/>
              <w:right w:val="nil"/>
            </w:tcBorders>
          </w:tcPr>
          <w:p w:rsidR="00B339BE" w:rsidRDefault="00B339BE" w:rsidP="00B339BE">
            <w:pPr>
              <w:pStyle w:val="NormalWeb"/>
              <w:spacing w:after="30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Fire is a risk wherever we work and live. If a fire were to break out do you have a plan to escape?</w:t>
            </w:r>
            <w:bookmarkStart w:id="1" w:name="_GoBack"/>
            <w:bookmarkEnd w:id="1"/>
          </w:p>
          <w:p w:rsidR="00B339BE" w:rsidRDefault="00B339BE" w:rsidP="00B339BE">
            <w:pPr>
              <w:pStyle w:val="NormalWeb"/>
              <w:spacing w:after="30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Tips for avoiding fire in your home:</w:t>
            </w:r>
          </w:p>
          <w:p w:rsidR="00B339BE" w:rsidRDefault="00B339BE" w:rsidP="00B339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To avoid fire risk, do not overload electrical outlets.</w:t>
            </w:r>
          </w:p>
          <w:p w:rsidR="00B339BE" w:rsidRDefault="00B339BE" w:rsidP="00B339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Do not place electrical cords under rugs or cover them with other materials.</w:t>
            </w:r>
          </w:p>
          <w:p w:rsidR="00B339BE" w:rsidRDefault="00B339BE" w:rsidP="00B339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Switch off and unplug your work devices at the end of each day.</w:t>
            </w:r>
          </w:p>
          <w:p w:rsidR="00B339BE" w:rsidRDefault="00B339BE" w:rsidP="00B339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Check your smoke alarms are working.</w:t>
            </w:r>
          </w:p>
          <w:p w:rsidR="00B339BE" w:rsidRDefault="00B339BE" w:rsidP="00B339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If you are a smoker, try to avoid smoking in the area you work in.</w:t>
            </w:r>
          </w:p>
          <w:p w:rsidR="00B339BE" w:rsidRDefault="00B339BE" w:rsidP="00B339BE">
            <w:pPr>
              <w:pStyle w:val="NormalWeb"/>
              <w:spacing w:after="30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If a fire breaks out only tackle it if it is small and you are confident you have the means to do it. </w:t>
            </w:r>
            <w:r>
              <w:rPr>
                <w:rStyle w:val="Strong"/>
                <w:color w:val="333333"/>
                <w:sz w:val="21"/>
                <w:szCs w:val="21"/>
              </w:rPr>
              <w:t>DO NOT TAKE RISKS</w:t>
            </w:r>
            <w:r>
              <w:rPr>
                <w:color w:val="333333"/>
                <w:sz w:val="21"/>
                <w:szCs w:val="21"/>
              </w:rPr>
              <w:t>, fire can spread quickly and unpredictably. Your best option is to get out or follow the advice you have been given for your building and dial the emergency services.</w:t>
            </w:r>
          </w:p>
          <w:p w:rsidR="00CD46FB" w:rsidRDefault="00B339BE" w:rsidP="00B339B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Plan how you would escape and share this information with everyone else you live with.</w:t>
            </w:r>
          </w:p>
          <w:p w:rsidR="00B339BE" w:rsidRDefault="00B339BE" w:rsidP="00B339BE">
            <w:pPr>
              <w:rPr>
                <w:noProof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8" w:space="0" w:color="D9D9D9" w:themeColor="background1" w:themeShade="D9"/>
            </w:tcBorders>
          </w:tcPr>
          <w:p w:rsidR="003475FC" w:rsidRDefault="00B339B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810000" cy="2847975"/>
                  <wp:effectExtent l="0" t="0" r="0" b="9525"/>
                  <wp:docPr id="17" name="Picture 17" descr="cid:07480296-0d69-ea11-8131-00505685cf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id:07480296-0d69-ea11-8131-00505685cf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B00" w:rsidTr="005756F6">
        <w:tc>
          <w:tcPr>
            <w:tcW w:w="13868" w:type="dxa"/>
            <w:gridSpan w:val="2"/>
            <w:tcBorders>
              <w:top w:val="nil"/>
              <w:left w:val="single" w:sz="48" w:space="0" w:color="D9D9D9" w:themeColor="background1" w:themeShade="D9"/>
              <w:bottom w:val="single" w:sz="18" w:space="0" w:color="BC2F43"/>
              <w:right w:val="single" w:sz="48" w:space="0" w:color="D9D9D9" w:themeColor="background1" w:themeShade="D9"/>
            </w:tcBorders>
          </w:tcPr>
          <w:p w:rsidR="00227B00" w:rsidRDefault="00227B00">
            <w:pPr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 xml:space="preserve">Remember, your health and wellbeing </w:t>
            </w:r>
            <w:proofErr w:type="gramStart"/>
            <w:r>
              <w:rPr>
                <w:b/>
                <w:bCs/>
                <w:color w:val="333333"/>
                <w:sz w:val="21"/>
                <w:szCs w:val="21"/>
              </w:rPr>
              <w:t>is</w:t>
            </w:r>
            <w:proofErr w:type="gramEnd"/>
            <w:r>
              <w:rPr>
                <w:b/>
                <w:bCs/>
                <w:color w:val="333333"/>
                <w:sz w:val="21"/>
                <w:szCs w:val="21"/>
              </w:rPr>
              <w:t xml:space="preserve"> the most important thing to us. This homeworking period is temporary and difficult for all of us, we are here to support you through this challenging period.</w:t>
            </w:r>
          </w:p>
          <w:p w:rsidR="00227B00" w:rsidRDefault="00227B00">
            <w:pPr>
              <w:rPr>
                <w:noProof/>
              </w:rPr>
            </w:pPr>
          </w:p>
        </w:tc>
      </w:tr>
      <w:tr w:rsidR="00227B00" w:rsidTr="005756F6">
        <w:tc>
          <w:tcPr>
            <w:tcW w:w="13868" w:type="dxa"/>
            <w:gridSpan w:val="2"/>
            <w:tcBorders>
              <w:top w:val="single" w:sz="18" w:space="0" w:color="BC2F43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</w:tcPr>
          <w:p w:rsidR="00227B00" w:rsidRDefault="00227B00" w:rsidP="00227B00">
            <w:pPr>
              <w:jc w:val="center"/>
              <w:rPr>
                <w:noProof/>
              </w:rPr>
            </w:pPr>
          </w:p>
          <w:p w:rsidR="00227B00" w:rsidRDefault="00227B00" w:rsidP="00227B00">
            <w:pPr>
              <w:jc w:val="center"/>
              <w:rPr>
                <w:noProof/>
                <w:color w:val="000000" w:themeColor="text1"/>
              </w:rPr>
            </w:pPr>
            <w:hyperlink r:id="rId11" w:history="1">
              <w:r w:rsidRPr="00516981">
                <w:rPr>
                  <w:rStyle w:val="Hyperlink"/>
                  <w:noProof/>
                </w:rPr>
                <w:t>www.cardinus.com</w:t>
              </w:r>
            </w:hyperlink>
            <w:r>
              <w:rPr>
                <w:noProof/>
              </w:rPr>
              <w:t xml:space="preserve">      </w:t>
            </w:r>
            <w:hyperlink r:id="rId12" w:history="1">
              <w:r w:rsidRPr="00516981">
                <w:rPr>
                  <w:rStyle w:val="Hyperlink"/>
                  <w:noProof/>
                </w:rPr>
                <w:t>info@cardinus.com</w:t>
              </w:r>
            </w:hyperlink>
            <w:r>
              <w:rPr>
                <w:noProof/>
              </w:rPr>
              <w:t xml:space="preserve">      </w:t>
            </w:r>
            <w:r w:rsidRPr="00E91973">
              <w:rPr>
                <w:noProof/>
                <w:color w:val="000000" w:themeColor="text1"/>
              </w:rPr>
              <w:t>UK tel: +44 (0) 207 469 0200      US tel: (866) 966 3420</w:t>
            </w:r>
          </w:p>
          <w:p w:rsidR="00227B00" w:rsidRDefault="00227B00" w:rsidP="00227B00">
            <w:pPr>
              <w:jc w:val="center"/>
              <w:rPr>
                <w:noProof/>
              </w:rPr>
            </w:pPr>
          </w:p>
        </w:tc>
      </w:tr>
      <w:bookmarkEnd w:id="0"/>
    </w:tbl>
    <w:p w:rsidR="00C37D28" w:rsidRDefault="00C37D28"/>
    <w:sectPr w:rsidR="00C37D28" w:rsidSect="00B339BE">
      <w:pgSz w:w="16840" w:h="13778" w:orient="landscape" w:code="9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48F8"/>
    <w:multiLevelType w:val="multilevel"/>
    <w:tmpl w:val="3C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168F"/>
    <w:multiLevelType w:val="multilevel"/>
    <w:tmpl w:val="5C78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14CE2"/>
    <w:multiLevelType w:val="multilevel"/>
    <w:tmpl w:val="887E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3470B"/>
    <w:multiLevelType w:val="multilevel"/>
    <w:tmpl w:val="849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84E95"/>
    <w:multiLevelType w:val="multilevel"/>
    <w:tmpl w:val="F2F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A4B12"/>
    <w:multiLevelType w:val="multilevel"/>
    <w:tmpl w:val="6E6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0B"/>
    <w:rsid w:val="001C274A"/>
    <w:rsid w:val="00227B00"/>
    <w:rsid w:val="002465F6"/>
    <w:rsid w:val="002C5E08"/>
    <w:rsid w:val="003475FC"/>
    <w:rsid w:val="005756F6"/>
    <w:rsid w:val="00590242"/>
    <w:rsid w:val="00701DE7"/>
    <w:rsid w:val="007111BA"/>
    <w:rsid w:val="0071772F"/>
    <w:rsid w:val="00814FB9"/>
    <w:rsid w:val="008C28A7"/>
    <w:rsid w:val="00B339BE"/>
    <w:rsid w:val="00C37D28"/>
    <w:rsid w:val="00CD46FB"/>
    <w:rsid w:val="00D7040B"/>
    <w:rsid w:val="00D73D12"/>
    <w:rsid w:val="00E372F4"/>
    <w:rsid w:val="00E42910"/>
    <w:rsid w:val="00E91973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C814"/>
  <w15:chartTrackingRefBased/>
  <w15:docId w15:val="{0002C156-617A-45F9-9BB7-E2274F5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197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E91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97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D4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42c9050-9cc6-e511-94fa-00155d145c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info@cardin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adbe096-3369-ea11-8131-00505685cfc8" TargetMode="External"/><Relationship Id="rId11" Type="http://schemas.openxmlformats.org/officeDocument/2006/relationships/hyperlink" Target="http://www.cardinus.com" TargetMode="External"/><Relationship Id="rId5" Type="http://schemas.openxmlformats.org/officeDocument/2006/relationships/image" Target="media/image1.jpeg"/><Relationship Id="rId10" Type="http://schemas.openxmlformats.org/officeDocument/2006/relationships/image" Target="cid:07480296-0d69-ea11-8131-00505685cfc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Cardinus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Wallis</dc:creator>
  <cp:keywords/>
  <dc:description/>
  <cp:lastModifiedBy>Becky Wallis</cp:lastModifiedBy>
  <cp:revision>3</cp:revision>
  <dcterms:created xsi:type="dcterms:W3CDTF">2020-03-23T10:34:00Z</dcterms:created>
  <dcterms:modified xsi:type="dcterms:W3CDTF">2020-03-23T10:35:00Z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940496173</vt:i4>
  </property>
  <property fmtid="{D5CDD505-2E9C-101B-9397-08002B2CF9AE}" pid="3" name="_NewReviewCycle">
    <vt:lpwstr/>
  </property>
  <property fmtid="{D5CDD505-2E9C-101B-9397-08002B2CF9AE}" pid="4" name="_EmailSubject">
    <vt:lpwstr>Cardinus</vt:lpwstr>
  </property>
  <property fmtid="{D5CDD505-2E9C-101B-9397-08002B2CF9AE}" pid="5" name="_AuthorEmail">
    <vt:lpwstr>John.Rees@cardinus.com</vt:lpwstr>
  </property>
  <property fmtid="{D5CDD505-2E9C-101B-9397-08002B2CF9AE}" pid="6" name="_AuthorEmailDisplayName">
    <vt:lpwstr>John Rees</vt:lpwstr>
  </property>
  <property fmtid="{D5CDD505-2E9C-101B-9397-08002B2CF9AE}" pid="7" name="_PreviousAdHocReviewCycleID">
    <vt:i4>1588254942</vt:i4>
  </property>
</Properties>
</file>